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АВТОЦИСТЕРНА АЦ 2,0-40 НА БАЗЕ ШАССИ КАМАЗ 4308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АВТОЦИСТЕРНА АЦ 2,0-40 НА БАЗЕ ШАССИ КАМАЗ 4308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АЦ 2,0-40 на шасси КАМАЗ 4308 предназначена для доставки к месту пожара личного состава, огнетушащих средств, пожарно-технического вооружения и аварийно-спасательного инструмента.</w:t>
            </w:r>
            <w:br/>
            <w:r>
              <w:rPr/>
              <w:t xml:space="preserve"> </w:t>
            </w:r>
            <w:br/>
            <w:r>
              <w:rPr/>
              <w:t xml:space="preserve"> ОСНОВНЫЕ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Базовое шасси</w:t>
            </w:r>
            <w:br/>
            <w:r>
              <w:rPr/>
              <w:t xml:space="preserve"> </w:t>
            </w:r>
            <w:br/>
            <w:r>
              <w:rPr/>
              <w:t xml:space="preserve"> КАМАЗ 4308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</w:t>
            </w:r>
            <w:br/>
            <w:r>
              <w:rPr/>
              <w:t xml:space="preserve"> </w:t>
            </w:r>
            <w:br/>
            <w:r>
              <w:rPr/>
              <w:t xml:space="preserve"> 4х2</w:t>
            </w:r>
            <w:br/>
            <w:r>
              <w:rPr/>
              <w:t xml:space="preserve"> </w:t>
            </w:r>
            <w:br/>
            <w:r>
              <w:rPr/>
              <w:t xml:space="preserve"> Тип двигателя</w:t>
            </w:r>
            <w:br/>
            <w:r>
              <w:rPr/>
              <w:t xml:space="preserve"> </w:t>
            </w:r>
            <w:br/>
            <w:r>
              <w:rPr/>
              <w:t xml:space="preserve"> Cummins 4 ISBe 185, Евро 4</w:t>
            </w:r>
            <w:br/>
            <w:r>
              <w:rPr/>
              <w:t xml:space="preserve"> </w:t>
            </w:r>
            <w:br/>
            <w:r>
              <w:rPr/>
              <w:t xml:space="preserve"> Мощность двигателя</w:t>
            </w:r>
            <w:br/>
            <w:r>
              <w:rPr/>
              <w:t xml:space="preserve"> </w:t>
            </w:r>
            <w:br/>
            <w:r>
              <w:rPr/>
              <w:t xml:space="preserve"> 185 л.с. (133 кВт)</w:t>
            </w:r>
            <w:br/>
            <w:r>
              <w:rPr/>
              <w:t xml:space="preserve"> </w:t>
            </w:r>
            <w:br/>
            <w:r>
              <w:rPr/>
              <w:t xml:space="preserve"> Число мест боевого расчета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Емкость цистерны для воды</w:t>
            </w:r>
            <w:br/>
            <w:r>
              <w:rPr/>
              <w:t xml:space="preserve"> </w:t>
            </w:r>
            <w:br/>
            <w:r>
              <w:rPr/>
              <w:t xml:space="preserve"> 2000 литров</w:t>
            </w:r>
            <w:br/>
            <w:r>
              <w:rPr/>
              <w:t xml:space="preserve"> </w:t>
            </w:r>
            <w:br/>
            <w:r>
              <w:rPr/>
              <w:t xml:space="preserve"> Емкость пенобака</w:t>
            </w:r>
            <w:br/>
            <w:r>
              <w:rPr/>
              <w:t xml:space="preserve"> </w:t>
            </w:r>
            <w:br/>
            <w:r>
              <w:rPr/>
              <w:t xml:space="preserve"> 122 литра</w:t>
            </w:r>
            <w:br/>
            <w:r>
              <w:rPr/>
              <w:t xml:space="preserve"> </w:t>
            </w:r>
            <w:br/>
            <w:r>
              <w:rPr/>
              <w:t xml:space="preserve"> Пожарный насос</w:t>
            </w:r>
            <w:br/>
            <w:r>
              <w:rPr/>
              <w:t xml:space="preserve"> </w:t>
            </w:r>
            <w:br/>
            <w:r>
              <w:rPr/>
              <w:t xml:space="preserve"> N25</w:t>
            </w:r>
            <w:br/>
            <w:r>
              <w:rPr/>
              <w:t xml:space="preserve"> </w:t>
            </w:r>
            <w:br/>
            <w:r>
              <w:rPr/>
              <w:t xml:space="preserve"> Производительность насоса</w:t>
            </w:r>
            <w:br/>
            <w:r>
              <w:rPr/>
              <w:t xml:space="preserve"> </w:t>
            </w:r>
            <w:br/>
            <w:r>
              <w:rPr/>
              <w:t xml:space="preserve"> 46,7 л/сек при 10 Атм</w:t>
            </w:r>
            <w:br/>
            <w:r>
              <w:rPr/>
              <w:t xml:space="preserve"> </w:t>
            </w:r>
            <w:br/>
            <w:r>
              <w:rPr/>
              <w:t xml:space="preserve"> Полная масса</w:t>
            </w:r>
            <w:br/>
            <w:r>
              <w:rPr/>
              <w:t xml:space="preserve"> </w:t>
            </w:r>
            <w:br/>
            <w:r>
              <w:rPr/>
              <w:t xml:space="preserve"> 11900 кг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2021-05-16T08:13:04+02:00</dcterms:created>
  <dcterms:modified xsi:type="dcterms:W3CDTF">2021-05-16T08:13:04+02:00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